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51C" w:rsidRPr="00BB5AC7" w:rsidRDefault="009F251C" w:rsidP="009F251C">
      <w:pPr>
        <w:jc w:val="center"/>
        <w:rPr>
          <w:rFonts w:ascii="Frutiger Next LT W1G" w:hAnsi="Frutiger Next LT W1G" w:cs="Times New Roman"/>
          <w:b/>
        </w:rPr>
      </w:pPr>
      <w:r w:rsidRPr="00BB5AC7">
        <w:rPr>
          <w:rFonts w:ascii="Frutiger Next LT W1G" w:hAnsi="Frutiger Next LT W1G" w:cs="Times New Roman"/>
          <w:b/>
        </w:rPr>
        <w:t>Zusammensetzung der Prüfungskommission</w:t>
      </w:r>
    </w:p>
    <w:p w:rsidR="009F251C" w:rsidRPr="009F251C" w:rsidRDefault="009F251C" w:rsidP="009F251C">
      <w:pPr>
        <w:spacing w:line="240" w:lineRule="auto"/>
        <w:rPr>
          <w:rFonts w:ascii="Frutiger Next LT W1G" w:hAnsi="Frutiger Next LT W1G" w:cs="Times New Roman"/>
        </w:rPr>
      </w:pPr>
    </w:p>
    <w:p w:rsidR="009F251C" w:rsidRPr="009F251C" w:rsidRDefault="009F251C" w:rsidP="009F251C">
      <w:pPr>
        <w:spacing w:line="240" w:lineRule="auto"/>
        <w:rPr>
          <w:rFonts w:ascii="Frutiger Next LT W1G" w:hAnsi="Frutiger Next LT W1G"/>
        </w:rPr>
      </w:pPr>
      <w:r w:rsidRPr="009F251C">
        <w:rPr>
          <w:rFonts w:ascii="Frutiger Next LT W1G" w:hAnsi="Frutiger Next LT W1G" w:cs="Times New Roman"/>
        </w:rPr>
        <w:t>Kriterien zur Zusammensetzung der Prüfungskommission</w:t>
      </w:r>
      <w:r w:rsidR="003F6B30" w:rsidRPr="003F6B30">
        <w:rPr>
          <w:rFonts w:ascii="Frutiger Next LT W1G" w:hAnsi="Frutiger Next LT W1G" w:cs="Times New Roman"/>
        </w:rPr>
        <w:t xml:space="preserve"> </w:t>
      </w:r>
      <w:r w:rsidR="003F6B30">
        <w:rPr>
          <w:rFonts w:ascii="Frutiger Next LT W1G" w:hAnsi="Frutiger Next LT W1G" w:cs="Times New Roman"/>
        </w:rPr>
        <w:t>bestehend aus Vorsitz, Erst- und Zweitgutachter</w:t>
      </w:r>
      <w:r w:rsidR="00C475CE">
        <w:rPr>
          <w:rFonts w:ascii="Frutiger Next LT W1G" w:hAnsi="Frutiger Next LT W1G" w:cs="Times New Roman"/>
        </w:rPr>
        <w:t>*</w:t>
      </w:r>
      <w:r w:rsidR="007C4AE5">
        <w:rPr>
          <w:rFonts w:ascii="Frutiger Next LT W1G" w:hAnsi="Frutiger Next LT W1G" w:cs="Times New Roman"/>
        </w:rPr>
        <w:t>in</w:t>
      </w:r>
      <w:r w:rsidR="003F6B30">
        <w:rPr>
          <w:rFonts w:ascii="Frutiger Next LT W1G" w:hAnsi="Frutiger Next LT W1G" w:cs="Times New Roman"/>
        </w:rPr>
        <w:t xml:space="preserve"> und Drittprüfer</w:t>
      </w:r>
      <w:r w:rsidR="00C475CE">
        <w:rPr>
          <w:rFonts w:ascii="Frutiger Next LT W1G" w:hAnsi="Frutiger Next LT W1G" w:cs="Times New Roman"/>
        </w:rPr>
        <w:t>*</w:t>
      </w:r>
      <w:r w:rsidR="007C4AE5">
        <w:rPr>
          <w:rFonts w:ascii="Frutiger Next LT W1G" w:hAnsi="Frutiger Next LT W1G" w:cs="Times New Roman"/>
        </w:rPr>
        <w:t>in</w:t>
      </w:r>
      <w:r w:rsidRPr="009F251C">
        <w:rPr>
          <w:rFonts w:ascii="Frutiger Next LT W1G" w:hAnsi="Frutiger Next LT W1G" w:cs="Times New Roman"/>
        </w:rPr>
        <w:t>:</w:t>
      </w:r>
      <w:r w:rsidRPr="009F251C">
        <w:rPr>
          <w:rFonts w:ascii="Frutiger Next LT W1G" w:hAnsi="Frutiger Next LT W1G"/>
        </w:rPr>
        <w:t xml:space="preserve"> </w:t>
      </w:r>
    </w:p>
    <w:p w:rsidR="009F251C" w:rsidRPr="009F251C" w:rsidRDefault="00082AA5" w:rsidP="009F251C">
      <w:pPr>
        <w:pStyle w:val="Listenabsatz"/>
        <w:numPr>
          <w:ilvl w:val="0"/>
          <w:numId w:val="3"/>
        </w:numPr>
        <w:jc w:val="left"/>
      </w:pPr>
      <w:r>
        <w:t xml:space="preserve">Jedes </w:t>
      </w:r>
      <w:r w:rsidR="009F251C" w:rsidRPr="009F251C">
        <w:t xml:space="preserve">Mitglied der Prüfungskommission muss </w:t>
      </w:r>
      <w:r w:rsidR="009F251C" w:rsidRPr="00040C6C">
        <w:rPr>
          <w:i/>
        </w:rPr>
        <w:t>Hochschullehrer</w:t>
      </w:r>
      <w:r w:rsidR="00C475CE">
        <w:rPr>
          <w:i/>
        </w:rPr>
        <w:t>*</w:t>
      </w:r>
      <w:r w:rsidR="007C4AE5">
        <w:rPr>
          <w:i/>
        </w:rPr>
        <w:t>in</w:t>
      </w:r>
      <w:r w:rsidR="009F251C" w:rsidRPr="009F251C">
        <w:t xml:space="preserve"> sein </w:t>
      </w:r>
      <w:r w:rsidR="009F251C" w:rsidRPr="009F251C">
        <w:br/>
        <w:t>(Hochschullehrer</w:t>
      </w:r>
      <w:r w:rsidR="00C475CE">
        <w:t>*</w:t>
      </w:r>
      <w:r w:rsidR="007C4AE5">
        <w:t>in</w:t>
      </w:r>
      <w:r w:rsidR="009F251C" w:rsidRPr="009F251C">
        <w:t xml:space="preserve"> ist entweder „Prof.“ oder „PD“, </w:t>
      </w:r>
      <w:r>
        <w:br/>
      </w:r>
      <w:r w:rsidR="009F251C" w:rsidRPr="009F251C">
        <w:t>Fachhochschulprofessor</w:t>
      </w:r>
      <w:r w:rsidR="00C475CE">
        <w:t>*</w:t>
      </w:r>
      <w:r w:rsidR="007C4AE5">
        <w:t>innen</w:t>
      </w:r>
      <w:r w:rsidR="009F251C" w:rsidRPr="009F251C">
        <w:t xml:space="preserve"> sind</w:t>
      </w:r>
      <w:r>
        <w:t xml:space="preserve"> ebenfalls</w:t>
      </w:r>
      <w:r w:rsidR="009F251C" w:rsidRPr="009F251C">
        <w:t xml:space="preserve"> Hochschullehrer</w:t>
      </w:r>
      <w:r w:rsidR="00C475CE">
        <w:t>*</w:t>
      </w:r>
      <w:r w:rsidR="007C4AE5">
        <w:t>innen</w:t>
      </w:r>
      <w:r w:rsidR="009F251C" w:rsidRPr="009F251C">
        <w:t>)</w:t>
      </w:r>
    </w:p>
    <w:p w:rsidR="009F251C" w:rsidRPr="009F251C" w:rsidRDefault="00082AA5" w:rsidP="009F251C">
      <w:pPr>
        <w:pStyle w:val="Listenabsatz"/>
        <w:numPr>
          <w:ilvl w:val="0"/>
          <w:numId w:val="3"/>
        </w:numPr>
        <w:jc w:val="left"/>
      </w:pPr>
      <w:r>
        <w:t>Vorsitz</w:t>
      </w:r>
      <w:r w:rsidR="009F251C" w:rsidRPr="009F251C">
        <w:t xml:space="preserve"> muss von der Fakultät für Medizin sein</w:t>
      </w:r>
    </w:p>
    <w:p w:rsidR="009F251C" w:rsidRPr="009F251C" w:rsidRDefault="009F251C" w:rsidP="009F251C">
      <w:pPr>
        <w:pStyle w:val="Listenabsatz"/>
        <w:numPr>
          <w:ilvl w:val="0"/>
          <w:numId w:val="3"/>
        </w:numPr>
        <w:jc w:val="left"/>
      </w:pPr>
      <w:r w:rsidRPr="009F251C">
        <w:t>Vorsitz darf nicht Gutachter</w:t>
      </w:r>
      <w:r w:rsidR="00C475CE">
        <w:t>*</w:t>
      </w:r>
      <w:r w:rsidR="007C4AE5">
        <w:t>in</w:t>
      </w:r>
      <w:r w:rsidRPr="009F251C">
        <w:t xml:space="preserve"> sein</w:t>
      </w:r>
    </w:p>
    <w:p w:rsidR="009F251C" w:rsidRPr="009F251C" w:rsidRDefault="009F251C" w:rsidP="009F251C">
      <w:pPr>
        <w:pStyle w:val="Listenabsatz"/>
        <w:numPr>
          <w:ilvl w:val="0"/>
          <w:numId w:val="3"/>
        </w:numPr>
        <w:jc w:val="left"/>
      </w:pPr>
      <w:r w:rsidRPr="009F251C">
        <w:t>Max. zwei Mitglieder vom gleichen Lehrstuhl</w:t>
      </w:r>
    </w:p>
    <w:p w:rsidR="009F251C" w:rsidRPr="009F251C" w:rsidRDefault="009F251C" w:rsidP="009F251C">
      <w:pPr>
        <w:pStyle w:val="Listenabsatz"/>
        <w:numPr>
          <w:ilvl w:val="0"/>
          <w:numId w:val="3"/>
        </w:numPr>
        <w:jc w:val="left"/>
      </w:pPr>
      <w:r w:rsidRPr="009F251C">
        <w:t>Mind. die Hälfte m</w:t>
      </w:r>
      <w:r w:rsidR="00560FB3">
        <w:t>ü</w:t>
      </w:r>
      <w:r w:rsidRPr="009F251C">
        <w:t>ss</w:t>
      </w:r>
      <w:r w:rsidR="00560FB3">
        <w:t>en</w:t>
      </w:r>
      <w:r w:rsidRPr="009F251C">
        <w:t xml:space="preserve"> </w:t>
      </w:r>
      <w:r w:rsidR="001D23CD">
        <w:t xml:space="preserve">berufene </w:t>
      </w:r>
      <w:r w:rsidRPr="009F251C">
        <w:t>Professor</w:t>
      </w:r>
      <w:bookmarkStart w:id="0" w:name="_GoBack"/>
      <w:r w:rsidR="00C475CE">
        <w:t>*</w:t>
      </w:r>
      <w:r w:rsidR="007C4AE5">
        <w:t>in</w:t>
      </w:r>
      <w:bookmarkEnd w:id="0"/>
      <w:r w:rsidR="007C4AE5">
        <w:t>nen</w:t>
      </w:r>
      <w:r w:rsidRPr="009F251C">
        <w:t xml:space="preserve"> sein</w:t>
      </w:r>
      <w:r w:rsidR="001D23CD">
        <w:t xml:space="preserve">, </w:t>
      </w:r>
      <w:r w:rsidR="001D23CD">
        <w:br/>
        <w:t xml:space="preserve">d.h. </w:t>
      </w:r>
      <w:proofErr w:type="gramStart"/>
      <w:r w:rsidR="001D23CD">
        <w:t>keine Privatdozent</w:t>
      </w:r>
      <w:proofErr w:type="gramEnd"/>
      <w:r w:rsidR="00C475CE">
        <w:t>*</w:t>
      </w:r>
      <w:r w:rsidR="007C4AE5">
        <w:t>innen</w:t>
      </w:r>
      <w:r w:rsidR="001D23CD">
        <w:t xml:space="preserve"> („PD“) und keine außerplanmäßigen Professor</w:t>
      </w:r>
      <w:r w:rsidR="00C475CE">
        <w:t>*</w:t>
      </w:r>
      <w:r w:rsidR="007C4AE5">
        <w:t>innen</w:t>
      </w:r>
      <w:r w:rsidR="001D23CD">
        <w:t xml:space="preserve"> („</w:t>
      </w:r>
      <w:proofErr w:type="spellStart"/>
      <w:r w:rsidR="001D23CD">
        <w:t>apl</w:t>
      </w:r>
      <w:proofErr w:type="spellEnd"/>
      <w:r w:rsidR="001D23CD">
        <w:t>.</w:t>
      </w:r>
      <w:r w:rsidR="00387EDE">
        <w:t xml:space="preserve"> Prof.“</w:t>
      </w:r>
      <w:r w:rsidR="001D23CD">
        <w:t>)</w:t>
      </w:r>
    </w:p>
    <w:p w:rsidR="00387EDE" w:rsidRPr="00387EDE" w:rsidRDefault="009F251C" w:rsidP="00387EDE">
      <w:pPr>
        <w:pStyle w:val="Listenabsatz"/>
        <w:numPr>
          <w:ilvl w:val="0"/>
          <w:numId w:val="3"/>
        </w:numPr>
        <w:jc w:val="left"/>
        <w:rPr>
          <w:rFonts w:ascii="Arial Black" w:hAnsi="Arial Black"/>
        </w:rPr>
      </w:pPr>
      <w:r w:rsidRPr="009F251C">
        <w:t>Ersatzperson muss alle 4 Posten ersetzen können</w:t>
      </w:r>
    </w:p>
    <w:p w:rsidR="00BB41B2" w:rsidRPr="00BB41B2" w:rsidRDefault="00D35888" w:rsidP="00BB41B2">
      <w:pPr>
        <w:pStyle w:val="Listenabsatz"/>
        <w:numPr>
          <w:ilvl w:val="0"/>
          <w:numId w:val="3"/>
        </w:numPr>
        <w:jc w:val="left"/>
        <w:rPr>
          <w:rFonts w:ascii="Arial Black" w:hAnsi="Arial Black"/>
        </w:rPr>
      </w:pPr>
      <w:r>
        <w:t>Empfehlung: Drittprüfer</w:t>
      </w:r>
      <w:r w:rsidR="00C475CE">
        <w:t>*</w:t>
      </w:r>
      <w:r w:rsidR="007C4AE5">
        <w:t>in</w:t>
      </w:r>
      <w:r>
        <w:t xml:space="preserve"> war nicht Teil des Mentorats</w:t>
      </w:r>
    </w:p>
    <w:p w:rsidR="00BB41B2" w:rsidRDefault="00BB41B2" w:rsidP="00BB41B2">
      <w:pPr>
        <w:ind w:left="360"/>
        <w:rPr>
          <w:rFonts w:ascii="Times New Roman" w:hAnsi="Times New Roman" w:cs="Times New Roman"/>
          <w:sz w:val="16"/>
          <w:szCs w:val="16"/>
        </w:rPr>
      </w:pPr>
    </w:p>
    <w:p w:rsidR="00BB41B2" w:rsidRDefault="00BB41B2" w:rsidP="00BB41B2">
      <w:pPr>
        <w:ind w:left="360"/>
        <w:rPr>
          <w:rFonts w:ascii="Times New Roman" w:hAnsi="Times New Roman" w:cs="Times New Roman"/>
          <w:sz w:val="16"/>
          <w:szCs w:val="16"/>
        </w:rPr>
      </w:pPr>
    </w:p>
    <w:p w:rsidR="00BB41B2" w:rsidRPr="00BB41B2" w:rsidRDefault="00BB41B2" w:rsidP="00BB41B2">
      <w:pPr>
        <w:ind w:left="360"/>
        <w:rPr>
          <w:rFonts w:ascii="Times New Roman" w:hAnsi="Times New Roman" w:cs="Times New Roman"/>
          <w:sz w:val="16"/>
          <w:szCs w:val="16"/>
        </w:rPr>
      </w:pPr>
      <w:r w:rsidRPr="00BB41B2">
        <w:rPr>
          <w:rFonts w:ascii="Times New Roman" w:hAnsi="Times New Roman" w:cs="Times New Roman"/>
          <w:sz w:val="16"/>
          <w:szCs w:val="16"/>
        </w:rPr>
        <w:t>Falls Sie sich unsicher sind, können Sie gerne vorab Ihren Vorschlag mit der Geschäftsstelle durchsprechen, bevor Sie die Prüfer</w:t>
      </w:r>
      <w:r>
        <w:rPr>
          <w:rFonts w:ascii="Times New Roman" w:hAnsi="Times New Roman" w:cs="Times New Roman"/>
          <w:sz w:val="16"/>
          <w:szCs w:val="16"/>
        </w:rPr>
        <w:t>*innen</w:t>
      </w:r>
      <w:r w:rsidRPr="00BB41B2">
        <w:rPr>
          <w:rFonts w:ascii="Times New Roman" w:hAnsi="Times New Roman" w:cs="Times New Roman"/>
          <w:sz w:val="16"/>
          <w:szCs w:val="16"/>
        </w:rPr>
        <w:t xml:space="preserve"> anfragen und den Vorschlag der Promotionskommission vorlegen.</w:t>
      </w:r>
    </w:p>
    <w:p w:rsidR="00387EDE" w:rsidRDefault="00387EDE" w:rsidP="00387EDE">
      <w:pPr>
        <w:pBdr>
          <w:top w:val="single" w:sz="4" w:space="1" w:color="auto"/>
        </w:pBdr>
        <w:rPr>
          <w:rFonts w:ascii="Arial Black" w:hAnsi="Arial Black"/>
        </w:rPr>
      </w:pPr>
    </w:p>
    <w:p w:rsidR="00BB41B2" w:rsidRPr="00387EDE" w:rsidRDefault="00BB41B2" w:rsidP="00387EDE">
      <w:pPr>
        <w:pBdr>
          <w:top w:val="single" w:sz="4" w:space="1" w:color="auto"/>
        </w:pBdr>
        <w:rPr>
          <w:rFonts w:ascii="Arial Black" w:hAnsi="Arial Black"/>
        </w:rPr>
      </w:pPr>
    </w:p>
    <w:p w:rsidR="005C5570" w:rsidRPr="00BB5AC7" w:rsidRDefault="005C5570" w:rsidP="009F251C">
      <w:pPr>
        <w:pStyle w:val="berschrift1"/>
        <w:spacing w:after="0"/>
        <w:rPr>
          <w:rFonts w:ascii="Times New Roman" w:hAnsi="Times New Roman" w:cs="Times New Roman"/>
          <w:sz w:val="16"/>
          <w:szCs w:val="16"/>
        </w:rPr>
      </w:pPr>
      <w:r w:rsidRPr="00BB5AC7">
        <w:rPr>
          <w:rFonts w:ascii="Times New Roman" w:hAnsi="Times New Roman" w:cs="Times New Roman"/>
          <w:sz w:val="16"/>
          <w:szCs w:val="16"/>
        </w:rPr>
        <w:t xml:space="preserve">Auszug Promotionsordnung Dr. </w:t>
      </w:r>
      <w:proofErr w:type="spellStart"/>
      <w:r w:rsidRPr="00BB5AC7">
        <w:rPr>
          <w:rFonts w:ascii="Times New Roman" w:hAnsi="Times New Roman" w:cs="Times New Roman"/>
          <w:sz w:val="16"/>
          <w:szCs w:val="16"/>
        </w:rPr>
        <w:t>rer</w:t>
      </w:r>
      <w:proofErr w:type="spellEnd"/>
      <w:r w:rsidRPr="00BB5AC7">
        <w:rPr>
          <w:rFonts w:ascii="Times New Roman" w:hAnsi="Times New Roman" w:cs="Times New Roman"/>
          <w:sz w:val="16"/>
          <w:szCs w:val="16"/>
        </w:rPr>
        <w:t xml:space="preserve">. </w:t>
      </w:r>
      <w:proofErr w:type="spellStart"/>
      <w:r w:rsidRPr="00BB5AC7">
        <w:rPr>
          <w:rFonts w:ascii="Times New Roman" w:hAnsi="Times New Roman" w:cs="Times New Roman"/>
          <w:sz w:val="16"/>
          <w:szCs w:val="16"/>
        </w:rPr>
        <w:t>physiol</w:t>
      </w:r>
      <w:proofErr w:type="spellEnd"/>
      <w:r w:rsidRPr="00BB5AC7">
        <w:rPr>
          <w:rFonts w:ascii="Times New Roman" w:hAnsi="Times New Roman" w:cs="Times New Roman"/>
          <w:sz w:val="16"/>
          <w:szCs w:val="16"/>
        </w:rPr>
        <w:t>.</w:t>
      </w:r>
      <w:r w:rsidR="009F251C" w:rsidRPr="00BB5AC7">
        <w:rPr>
          <w:rFonts w:ascii="Times New Roman" w:hAnsi="Times New Roman" w:cs="Times New Roman"/>
          <w:sz w:val="16"/>
          <w:szCs w:val="16"/>
        </w:rPr>
        <w:br/>
      </w:r>
      <w:r w:rsidR="009C2BE0" w:rsidRPr="00BB5AC7">
        <w:rPr>
          <w:rFonts w:ascii="Times New Roman" w:hAnsi="Times New Roman" w:cs="Times New Roman"/>
          <w:b w:val="0"/>
          <w:sz w:val="16"/>
          <w:szCs w:val="16"/>
        </w:rPr>
        <w:br/>
      </w:r>
      <w:r w:rsidRPr="00BB5AC7">
        <w:rPr>
          <w:rFonts w:ascii="Times New Roman" w:hAnsi="Times New Roman" w:cs="Times New Roman"/>
          <w:b w:val="0"/>
          <w:sz w:val="16"/>
          <w:szCs w:val="16"/>
        </w:rPr>
        <w:t xml:space="preserve">§ 12 </w:t>
      </w:r>
      <w:r w:rsidRPr="00BB5AC7">
        <w:rPr>
          <w:rFonts w:ascii="Times New Roman" w:hAnsi="Times New Roman" w:cs="Times New Roman"/>
          <w:b w:val="0"/>
          <w:sz w:val="16"/>
          <w:szCs w:val="16"/>
        </w:rPr>
        <w:br/>
        <w:t>Prüfungskommission</w:t>
      </w:r>
      <w:r w:rsidRPr="00BB5AC7">
        <w:rPr>
          <w:rFonts w:ascii="Times New Roman" w:hAnsi="Times New Roman" w:cs="Times New Roman"/>
          <w:sz w:val="16"/>
          <w:szCs w:val="16"/>
        </w:rPr>
        <w:t xml:space="preserve"> </w:t>
      </w:r>
      <w:r w:rsidR="009F251C" w:rsidRPr="00BB5AC7">
        <w:rPr>
          <w:rFonts w:ascii="Times New Roman" w:hAnsi="Times New Roman" w:cs="Times New Roman"/>
          <w:sz w:val="16"/>
          <w:szCs w:val="16"/>
        </w:rPr>
        <w:br/>
      </w:r>
    </w:p>
    <w:p w:rsidR="005C5570" w:rsidRPr="00BB5AC7" w:rsidRDefault="005C5570" w:rsidP="005C5570">
      <w:pPr>
        <w:pStyle w:val="Listenabsatz"/>
        <w:numPr>
          <w:ilvl w:val="0"/>
          <w:numId w:val="1"/>
        </w:numPr>
        <w:ind w:hanging="720"/>
        <w:rPr>
          <w:rFonts w:ascii="Times New Roman" w:hAnsi="Times New Roman" w:cs="Times New Roman"/>
          <w:sz w:val="16"/>
          <w:szCs w:val="16"/>
        </w:rPr>
      </w:pPr>
      <w:r w:rsidRPr="00BB5AC7">
        <w:rPr>
          <w:rFonts w:ascii="Times New Roman" w:hAnsi="Times New Roman" w:cs="Times New Roman"/>
          <w:sz w:val="16"/>
          <w:szCs w:val="16"/>
          <w:vertAlign w:val="superscript"/>
        </w:rPr>
        <w:t>1</w:t>
      </w:r>
      <w:r w:rsidRPr="00BB5AC7">
        <w:rPr>
          <w:rFonts w:ascii="Times New Roman" w:hAnsi="Times New Roman" w:cs="Times New Roman"/>
          <w:sz w:val="16"/>
          <w:szCs w:val="16"/>
        </w:rPr>
        <w:t xml:space="preserve">Der Prüfungskommission gehören prüfungsberechtigt an: </w:t>
      </w:r>
    </w:p>
    <w:p w:rsidR="005C5570" w:rsidRPr="00BB5AC7" w:rsidRDefault="005C5570" w:rsidP="005C5570">
      <w:pPr>
        <w:pStyle w:val="Listenabsatz"/>
        <w:numPr>
          <w:ilvl w:val="1"/>
          <w:numId w:val="2"/>
        </w:numPr>
        <w:ind w:left="1276" w:hanging="567"/>
        <w:rPr>
          <w:rFonts w:ascii="Times New Roman" w:hAnsi="Times New Roman" w:cs="Times New Roman"/>
          <w:sz w:val="16"/>
          <w:szCs w:val="16"/>
        </w:rPr>
      </w:pPr>
      <w:r w:rsidRPr="00BB5AC7">
        <w:rPr>
          <w:rFonts w:ascii="Times New Roman" w:hAnsi="Times New Roman" w:cs="Times New Roman"/>
          <w:sz w:val="16"/>
          <w:szCs w:val="16"/>
        </w:rPr>
        <w:t xml:space="preserve">ein Hochschullehrer der promovierenden Fakultät, der nicht Gutachter sein darf, als Vorsitzender, </w:t>
      </w:r>
    </w:p>
    <w:p w:rsidR="005C5570" w:rsidRPr="00BB5AC7" w:rsidRDefault="005C5570" w:rsidP="005C5570">
      <w:pPr>
        <w:pStyle w:val="Listenabsatz"/>
        <w:numPr>
          <w:ilvl w:val="1"/>
          <w:numId w:val="2"/>
        </w:numPr>
        <w:ind w:left="1276" w:hanging="567"/>
        <w:rPr>
          <w:rFonts w:ascii="Times New Roman" w:hAnsi="Times New Roman" w:cs="Times New Roman"/>
          <w:sz w:val="16"/>
          <w:szCs w:val="16"/>
        </w:rPr>
      </w:pPr>
      <w:r w:rsidRPr="00BB5AC7">
        <w:rPr>
          <w:rFonts w:ascii="Times New Roman" w:hAnsi="Times New Roman" w:cs="Times New Roman"/>
          <w:sz w:val="16"/>
          <w:szCs w:val="16"/>
        </w:rPr>
        <w:t xml:space="preserve">der Erst- und Zweitgutachter, </w:t>
      </w:r>
    </w:p>
    <w:p w:rsidR="005C5570" w:rsidRPr="00BB5AC7" w:rsidRDefault="005C5570" w:rsidP="005C5570">
      <w:pPr>
        <w:pStyle w:val="Listenabsatz"/>
        <w:numPr>
          <w:ilvl w:val="1"/>
          <w:numId w:val="2"/>
        </w:numPr>
        <w:ind w:left="1276" w:hanging="567"/>
        <w:rPr>
          <w:rFonts w:ascii="Times New Roman" w:hAnsi="Times New Roman" w:cs="Times New Roman"/>
          <w:sz w:val="16"/>
          <w:szCs w:val="16"/>
        </w:rPr>
      </w:pPr>
      <w:r w:rsidRPr="00BB5AC7">
        <w:rPr>
          <w:rFonts w:ascii="Times New Roman" w:hAnsi="Times New Roman" w:cs="Times New Roman"/>
          <w:sz w:val="16"/>
          <w:szCs w:val="16"/>
        </w:rPr>
        <w:t xml:space="preserve">ein weiterer Hochschullehrer. </w:t>
      </w:r>
    </w:p>
    <w:p w:rsidR="005C5570" w:rsidRPr="00BB5AC7" w:rsidRDefault="005C5570" w:rsidP="005C5570">
      <w:pPr>
        <w:pStyle w:val="Listenabsatz"/>
        <w:rPr>
          <w:rFonts w:ascii="Times New Roman" w:hAnsi="Times New Roman" w:cs="Times New Roman"/>
          <w:sz w:val="16"/>
          <w:szCs w:val="16"/>
        </w:rPr>
      </w:pPr>
      <w:r w:rsidRPr="00BB5AC7">
        <w:rPr>
          <w:rFonts w:ascii="Times New Roman" w:hAnsi="Times New Roman" w:cs="Times New Roman"/>
          <w:sz w:val="16"/>
          <w:szCs w:val="16"/>
          <w:vertAlign w:val="superscript"/>
        </w:rPr>
        <w:t>2</w:t>
      </w:r>
      <w:r w:rsidRPr="00BB5AC7">
        <w:rPr>
          <w:rFonts w:ascii="Times New Roman" w:hAnsi="Times New Roman" w:cs="Times New Roman"/>
          <w:sz w:val="16"/>
          <w:szCs w:val="16"/>
        </w:rPr>
        <w:t xml:space="preserve">Höchstens zwei Mitglieder der Prüfungskommission dürfen dem gleichen Lehrstuhl angehören. </w:t>
      </w:r>
      <w:r w:rsidRPr="00BB5AC7">
        <w:rPr>
          <w:rFonts w:ascii="Times New Roman" w:hAnsi="Times New Roman" w:cs="Times New Roman"/>
          <w:sz w:val="16"/>
          <w:szCs w:val="16"/>
          <w:vertAlign w:val="superscript"/>
        </w:rPr>
        <w:t>3</w:t>
      </w:r>
      <w:r w:rsidRPr="00BB5AC7">
        <w:rPr>
          <w:rFonts w:ascii="Times New Roman" w:hAnsi="Times New Roman" w:cs="Times New Roman"/>
          <w:sz w:val="16"/>
          <w:szCs w:val="16"/>
        </w:rPr>
        <w:t xml:space="preserve">Mindestens die Hälfte der Prüfungskommission hat aus Professoren gemäß Art. 2 Abs. 1 Satz 1 Ziff. 1 und 2 </w:t>
      </w:r>
      <w:proofErr w:type="spellStart"/>
      <w:r w:rsidRPr="00BB5AC7">
        <w:rPr>
          <w:rFonts w:ascii="Times New Roman" w:hAnsi="Times New Roman" w:cs="Times New Roman"/>
          <w:sz w:val="16"/>
          <w:szCs w:val="16"/>
        </w:rPr>
        <w:t>BayHSchPG</w:t>
      </w:r>
      <w:proofErr w:type="spellEnd"/>
      <w:r w:rsidRPr="00BB5AC7">
        <w:rPr>
          <w:rFonts w:ascii="Times New Roman" w:hAnsi="Times New Roman" w:cs="Times New Roman"/>
          <w:sz w:val="16"/>
          <w:szCs w:val="16"/>
        </w:rPr>
        <w:t xml:space="preserve"> zu bestehen. </w:t>
      </w:r>
      <w:r w:rsidRPr="00BB5AC7">
        <w:rPr>
          <w:rFonts w:ascii="Times New Roman" w:hAnsi="Times New Roman" w:cs="Times New Roman"/>
          <w:sz w:val="16"/>
          <w:szCs w:val="16"/>
          <w:vertAlign w:val="superscript"/>
        </w:rPr>
        <w:t>4</w:t>
      </w:r>
      <w:r w:rsidRPr="00BB5AC7">
        <w:rPr>
          <w:rFonts w:ascii="Times New Roman" w:hAnsi="Times New Roman" w:cs="Times New Roman"/>
          <w:sz w:val="16"/>
          <w:szCs w:val="16"/>
        </w:rPr>
        <w:t xml:space="preserve">Es kann eine Ersatzperson benannt werden, welche die Mitglieder gemäß Satz 1 Nr. 1 und Satz 1 Nr. 3 im Falle der Verhinderung vertreten kann, wobei die Zusammensetzung im Falle der Verhinderung den Anforderungen der Sätze 1 bis 3 genügen muss. </w:t>
      </w:r>
    </w:p>
    <w:p w:rsidR="005C5570" w:rsidRPr="00BB5AC7" w:rsidRDefault="005C5570" w:rsidP="005C5570">
      <w:pPr>
        <w:pStyle w:val="Listenabsatz"/>
        <w:numPr>
          <w:ilvl w:val="0"/>
          <w:numId w:val="1"/>
        </w:numPr>
        <w:ind w:hanging="720"/>
        <w:rPr>
          <w:rFonts w:ascii="Times New Roman" w:hAnsi="Times New Roman" w:cs="Times New Roman"/>
          <w:sz w:val="16"/>
          <w:szCs w:val="16"/>
        </w:rPr>
      </w:pPr>
      <w:r w:rsidRPr="00BB5AC7">
        <w:rPr>
          <w:rFonts w:ascii="Times New Roman" w:hAnsi="Times New Roman" w:cs="Times New Roman"/>
          <w:sz w:val="16"/>
          <w:szCs w:val="16"/>
          <w:vertAlign w:val="superscript"/>
        </w:rPr>
        <w:t>1</w:t>
      </w:r>
      <w:r w:rsidRPr="00BB5AC7">
        <w:rPr>
          <w:rFonts w:ascii="Times New Roman" w:hAnsi="Times New Roman" w:cs="Times New Roman"/>
          <w:sz w:val="16"/>
          <w:szCs w:val="16"/>
        </w:rPr>
        <w:t xml:space="preserve">Die Mitglieder der Prüfungskommission sowie gegebenenfalls die Ersatzperson nach Abs. 1 Satz 4 werden von der Promotionskommission gleichzeitig mit den Gutachtern bestellt. </w:t>
      </w:r>
      <w:r w:rsidRPr="00BB5AC7">
        <w:rPr>
          <w:rFonts w:ascii="Times New Roman" w:hAnsi="Times New Roman" w:cs="Times New Roman"/>
          <w:sz w:val="16"/>
          <w:szCs w:val="16"/>
          <w:vertAlign w:val="superscript"/>
        </w:rPr>
        <w:t>2</w:t>
      </w:r>
      <w:r w:rsidRPr="00BB5AC7">
        <w:rPr>
          <w:rFonts w:ascii="Times New Roman" w:hAnsi="Times New Roman" w:cs="Times New Roman"/>
          <w:sz w:val="16"/>
          <w:szCs w:val="16"/>
        </w:rPr>
        <w:t xml:space="preserve">Die Zusammensetzung der Prüfungskommission wird dem Bewerber mit der Mitteilung der Entscheidung über die Annahme der Dissertation bekannt gegeben. </w:t>
      </w:r>
      <w:r w:rsidRPr="00BB5AC7">
        <w:rPr>
          <w:rFonts w:ascii="Times New Roman" w:hAnsi="Times New Roman" w:cs="Times New Roman"/>
          <w:sz w:val="16"/>
          <w:szCs w:val="16"/>
          <w:vertAlign w:val="superscript"/>
        </w:rPr>
        <w:t>3</w:t>
      </w:r>
      <w:r w:rsidRPr="00BB5AC7">
        <w:rPr>
          <w:rFonts w:ascii="Times New Roman" w:hAnsi="Times New Roman" w:cs="Times New Roman"/>
          <w:sz w:val="16"/>
          <w:szCs w:val="16"/>
        </w:rPr>
        <w:t xml:space="preserve">Der Bewerber hat ein Vorschlagrecht für die Prüfer, aber keinen Rechtsanspruch auf deren Bestellung. </w:t>
      </w:r>
    </w:p>
    <w:p w:rsidR="005C5570" w:rsidRPr="00BB5AC7" w:rsidRDefault="005C5570" w:rsidP="005C5570">
      <w:pPr>
        <w:pStyle w:val="Listenabsatz"/>
        <w:numPr>
          <w:ilvl w:val="0"/>
          <w:numId w:val="1"/>
        </w:numPr>
        <w:ind w:hanging="720"/>
        <w:rPr>
          <w:rFonts w:ascii="Times New Roman" w:hAnsi="Times New Roman" w:cs="Times New Roman"/>
          <w:sz w:val="16"/>
          <w:szCs w:val="16"/>
        </w:rPr>
      </w:pPr>
      <w:r w:rsidRPr="00BB5AC7">
        <w:rPr>
          <w:rFonts w:ascii="Times New Roman" w:hAnsi="Times New Roman" w:cs="Times New Roman"/>
          <w:sz w:val="16"/>
          <w:szCs w:val="16"/>
        </w:rPr>
        <w:t xml:space="preserve">Falls ein Mitglied der Prüfungskommission, für das keine Ersatzperson nach Abs. 1 Satz 4 bestellt wurde, gehindert ist, am weiteren Verfahren teilzunehmen, bestellt die Promotionskommission unter fachspezifischen Gesichtspunkten und nach Maßgabe des Abs. 1 Satz 1 bis 3 einen Hochschullehrer zum Mitglied der Prüfungskommission. </w:t>
      </w:r>
    </w:p>
    <w:p w:rsidR="009C2BE0" w:rsidRPr="00BB5AC7" w:rsidRDefault="009C2BE0" w:rsidP="009C2BE0">
      <w:pPr>
        <w:pStyle w:val="berschrift1"/>
        <w:spacing w:after="0"/>
        <w:rPr>
          <w:rFonts w:ascii="Times New Roman" w:hAnsi="Times New Roman" w:cs="Times New Roman"/>
          <w:b w:val="0"/>
          <w:sz w:val="16"/>
          <w:szCs w:val="16"/>
        </w:rPr>
      </w:pPr>
      <w:r w:rsidRPr="00BB5AC7">
        <w:rPr>
          <w:rFonts w:ascii="Times New Roman" w:hAnsi="Times New Roman" w:cs="Times New Roman"/>
          <w:b w:val="0"/>
          <w:sz w:val="16"/>
          <w:szCs w:val="16"/>
        </w:rPr>
        <w:t>§ 10</w:t>
      </w:r>
      <w:r w:rsidRPr="00BB5AC7">
        <w:rPr>
          <w:rFonts w:ascii="Times New Roman" w:hAnsi="Times New Roman" w:cs="Times New Roman"/>
          <w:b w:val="0"/>
          <w:sz w:val="16"/>
          <w:szCs w:val="16"/>
        </w:rPr>
        <w:br/>
        <w:t>Beurteilung der Dissertation</w:t>
      </w:r>
      <w:r w:rsidRPr="00BB5AC7">
        <w:rPr>
          <w:rFonts w:ascii="Times New Roman" w:hAnsi="Times New Roman" w:cs="Times New Roman"/>
          <w:b w:val="0"/>
          <w:sz w:val="16"/>
          <w:szCs w:val="16"/>
        </w:rPr>
        <w:br/>
      </w:r>
    </w:p>
    <w:p w:rsidR="009C2BE0" w:rsidRPr="00BB5AC7" w:rsidRDefault="009C2BE0" w:rsidP="009C2BE0">
      <w:pPr>
        <w:pStyle w:val="Listenabsatz"/>
        <w:numPr>
          <w:ilvl w:val="0"/>
          <w:numId w:val="4"/>
        </w:numPr>
        <w:autoSpaceDE w:val="0"/>
        <w:autoSpaceDN w:val="0"/>
        <w:adjustRightInd w:val="0"/>
        <w:rPr>
          <w:rFonts w:ascii="Times New Roman" w:hAnsi="Times New Roman" w:cs="Times New Roman"/>
          <w:sz w:val="16"/>
          <w:szCs w:val="16"/>
        </w:rPr>
      </w:pPr>
      <w:r w:rsidRPr="00BB5AC7">
        <w:rPr>
          <w:rFonts w:ascii="Times New Roman" w:hAnsi="Times New Roman" w:cs="Times New Roman"/>
          <w:sz w:val="16"/>
          <w:szCs w:val="16"/>
          <w:vertAlign w:val="superscript"/>
        </w:rPr>
        <w:t>1</w:t>
      </w:r>
      <w:r w:rsidRPr="00BB5AC7">
        <w:rPr>
          <w:rFonts w:ascii="Times New Roman" w:hAnsi="Times New Roman" w:cs="Times New Roman"/>
          <w:sz w:val="16"/>
          <w:szCs w:val="16"/>
        </w:rPr>
        <w:t xml:space="preserve">Zur Beurteilung der Dissertation und der Publikation holt die Promotionskommission unter Setzung einer Frist von zwei Monaten zwei Gutachten ein. </w:t>
      </w:r>
      <w:r w:rsidRPr="00BB5AC7">
        <w:rPr>
          <w:rFonts w:ascii="Times New Roman" w:hAnsi="Times New Roman" w:cs="Times New Roman"/>
          <w:sz w:val="16"/>
          <w:szCs w:val="16"/>
          <w:vertAlign w:val="superscript"/>
        </w:rPr>
        <w:t>2</w:t>
      </w:r>
      <w:r w:rsidRPr="00BB5AC7">
        <w:rPr>
          <w:rFonts w:ascii="Times New Roman" w:hAnsi="Times New Roman" w:cs="Times New Roman"/>
          <w:sz w:val="16"/>
          <w:szCs w:val="16"/>
        </w:rPr>
        <w:t xml:space="preserve">Ein Gutachten erstellt in der Regel der unmittelbare Fachbetreuer, das zweite Gutachten ein habilitiertes Mitglied des Mentorats oder ein anderes habilitiertes Mitglied der Universität Regensburg. </w:t>
      </w:r>
      <w:r w:rsidRPr="00BB5AC7">
        <w:rPr>
          <w:rFonts w:ascii="Times New Roman" w:hAnsi="Times New Roman" w:cs="Times New Roman"/>
          <w:sz w:val="16"/>
          <w:szCs w:val="16"/>
          <w:vertAlign w:val="superscript"/>
        </w:rPr>
        <w:t>3</w:t>
      </w:r>
      <w:r w:rsidRPr="00BB5AC7">
        <w:rPr>
          <w:rFonts w:ascii="Times New Roman" w:hAnsi="Times New Roman" w:cs="Times New Roman"/>
          <w:sz w:val="16"/>
          <w:szCs w:val="16"/>
        </w:rPr>
        <w:t xml:space="preserve">Für den Fall der Verhinderung eines Gutachters wird ein Vertreter bestellt. </w:t>
      </w:r>
      <w:r w:rsidRPr="00BB5AC7">
        <w:rPr>
          <w:rFonts w:ascii="Times New Roman" w:hAnsi="Times New Roman" w:cs="Times New Roman"/>
          <w:sz w:val="16"/>
          <w:szCs w:val="16"/>
          <w:vertAlign w:val="superscript"/>
        </w:rPr>
        <w:t>4</w:t>
      </w:r>
      <w:r w:rsidRPr="00BB5AC7">
        <w:rPr>
          <w:rFonts w:ascii="Times New Roman" w:hAnsi="Times New Roman" w:cs="Times New Roman"/>
          <w:sz w:val="16"/>
          <w:szCs w:val="16"/>
        </w:rPr>
        <w:t xml:space="preserve">Bewerten beide Gutachter die Arbeit mit „summa cum laude“, so ist ein weiterer habilitierter Gutachter, der nicht Mitglied des Mentorats ist, mit einem Gutachten zu beauftragen. </w:t>
      </w:r>
      <w:r w:rsidRPr="00BB5AC7">
        <w:rPr>
          <w:rFonts w:ascii="Times New Roman" w:hAnsi="Times New Roman" w:cs="Times New Roman"/>
          <w:sz w:val="16"/>
          <w:szCs w:val="16"/>
          <w:vertAlign w:val="superscript"/>
        </w:rPr>
        <w:t>5</w:t>
      </w:r>
      <w:r w:rsidRPr="00BB5AC7">
        <w:rPr>
          <w:rFonts w:ascii="Times New Roman" w:hAnsi="Times New Roman" w:cs="Times New Roman"/>
          <w:sz w:val="16"/>
          <w:szCs w:val="16"/>
        </w:rPr>
        <w:t xml:space="preserve">Der Drittgutachter muss nicht Mitglied der Universität Regensburg sein. </w:t>
      </w:r>
    </w:p>
    <w:p w:rsidR="009C2BE0" w:rsidRPr="00BB5AC7" w:rsidRDefault="009C2BE0" w:rsidP="009C2BE0">
      <w:pPr>
        <w:pStyle w:val="Listenabsatz"/>
        <w:numPr>
          <w:ilvl w:val="0"/>
          <w:numId w:val="4"/>
        </w:numPr>
        <w:autoSpaceDE w:val="0"/>
        <w:autoSpaceDN w:val="0"/>
        <w:adjustRightInd w:val="0"/>
        <w:rPr>
          <w:rFonts w:ascii="Times New Roman" w:hAnsi="Times New Roman" w:cs="Times New Roman"/>
          <w:sz w:val="16"/>
          <w:szCs w:val="16"/>
        </w:rPr>
      </w:pPr>
      <w:r w:rsidRPr="00BB5AC7">
        <w:rPr>
          <w:rFonts w:ascii="Times New Roman" w:hAnsi="Times New Roman" w:cs="Times New Roman"/>
          <w:sz w:val="16"/>
          <w:szCs w:val="16"/>
          <w:vertAlign w:val="superscript"/>
        </w:rPr>
        <w:t>1</w:t>
      </w:r>
      <w:r w:rsidRPr="00BB5AC7">
        <w:rPr>
          <w:rFonts w:ascii="Times New Roman" w:hAnsi="Times New Roman" w:cs="Times New Roman"/>
          <w:sz w:val="16"/>
          <w:szCs w:val="16"/>
        </w:rPr>
        <w:t xml:space="preserve">Sind in einem Gutachten Mängel in der Dissertation festgestellt worden, so kann beim Vorsitzenden der Promotionskommission eine Beseitigung derselben als Bedingung für ein Annahmevotum beantragt werden. </w:t>
      </w:r>
      <w:r w:rsidRPr="00BB5AC7">
        <w:rPr>
          <w:rFonts w:ascii="Times New Roman" w:hAnsi="Times New Roman" w:cs="Times New Roman"/>
          <w:sz w:val="16"/>
          <w:szCs w:val="16"/>
          <w:vertAlign w:val="superscript"/>
        </w:rPr>
        <w:t>2</w:t>
      </w:r>
      <w:r w:rsidRPr="00BB5AC7">
        <w:rPr>
          <w:rFonts w:ascii="Times New Roman" w:hAnsi="Times New Roman" w:cs="Times New Roman"/>
          <w:sz w:val="16"/>
          <w:szCs w:val="16"/>
        </w:rPr>
        <w:t xml:space="preserve">Der Vorsitzende der Promotionskommission kann dem Bewerber in angemessener Frist eine Beseitigung der Mängel und erneute Vorlage der Dissertation empfehlen. </w:t>
      </w:r>
      <w:r w:rsidRPr="00BB5AC7">
        <w:rPr>
          <w:rFonts w:ascii="Times New Roman" w:hAnsi="Times New Roman" w:cs="Times New Roman"/>
          <w:sz w:val="16"/>
          <w:szCs w:val="16"/>
          <w:vertAlign w:val="superscript"/>
        </w:rPr>
        <w:t>3</w:t>
      </w:r>
      <w:r w:rsidRPr="00BB5AC7">
        <w:rPr>
          <w:rFonts w:ascii="Times New Roman" w:hAnsi="Times New Roman" w:cs="Times New Roman"/>
          <w:sz w:val="16"/>
          <w:szCs w:val="16"/>
        </w:rPr>
        <w:t>Diese Frist kann einmalig verlängert werden.</w:t>
      </w:r>
    </w:p>
    <w:p w:rsidR="009C2BE0" w:rsidRPr="00BB5AC7" w:rsidRDefault="009C2BE0" w:rsidP="009C2BE0">
      <w:pPr>
        <w:pStyle w:val="Listenabsatz"/>
        <w:numPr>
          <w:ilvl w:val="0"/>
          <w:numId w:val="4"/>
        </w:numPr>
        <w:autoSpaceDE w:val="0"/>
        <w:autoSpaceDN w:val="0"/>
        <w:adjustRightInd w:val="0"/>
        <w:rPr>
          <w:rFonts w:ascii="Times New Roman" w:hAnsi="Times New Roman" w:cs="Times New Roman"/>
          <w:sz w:val="16"/>
          <w:szCs w:val="16"/>
        </w:rPr>
      </w:pPr>
      <w:r w:rsidRPr="00BB5AC7">
        <w:rPr>
          <w:rFonts w:ascii="Times New Roman" w:hAnsi="Times New Roman" w:cs="Times New Roman"/>
          <w:sz w:val="16"/>
          <w:szCs w:val="16"/>
          <w:vertAlign w:val="superscript"/>
        </w:rPr>
        <w:lastRenderedPageBreak/>
        <w:t>1</w:t>
      </w:r>
      <w:r w:rsidRPr="00BB5AC7">
        <w:rPr>
          <w:rFonts w:ascii="Times New Roman" w:hAnsi="Times New Roman" w:cs="Times New Roman"/>
          <w:sz w:val="16"/>
          <w:szCs w:val="16"/>
        </w:rPr>
        <w:t>Die Gutachter überprüfen die erneut vorgelegte Dissertation auf Beseitigung der Mängel.</w:t>
      </w:r>
      <w:r w:rsidRPr="00BB5AC7">
        <w:rPr>
          <w:rFonts w:ascii="Times New Roman" w:hAnsi="Times New Roman" w:cs="Times New Roman"/>
          <w:sz w:val="16"/>
          <w:szCs w:val="16"/>
          <w:vertAlign w:val="superscript"/>
        </w:rPr>
        <w:t>2</w:t>
      </w:r>
      <w:r w:rsidRPr="00BB5AC7">
        <w:rPr>
          <w:rFonts w:ascii="Times New Roman" w:hAnsi="Times New Roman" w:cs="Times New Roman"/>
          <w:sz w:val="16"/>
          <w:szCs w:val="16"/>
        </w:rPr>
        <w:t xml:space="preserve">Kommt die Promotionskommission aufgrund der Gutachten zu einem negativen Ergebnis, so ist die Promotionsprüfung endgültig nicht bestanden. </w:t>
      </w:r>
    </w:p>
    <w:p w:rsidR="009C2BE0" w:rsidRPr="00BB5AC7" w:rsidRDefault="009C2BE0" w:rsidP="009C2BE0">
      <w:pPr>
        <w:pStyle w:val="Listenabsatz"/>
        <w:numPr>
          <w:ilvl w:val="0"/>
          <w:numId w:val="4"/>
        </w:numPr>
        <w:autoSpaceDE w:val="0"/>
        <w:autoSpaceDN w:val="0"/>
        <w:adjustRightInd w:val="0"/>
        <w:rPr>
          <w:rFonts w:ascii="Times New Roman" w:hAnsi="Times New Roman" w:cs="Times New Roman"/>
          <w:sz w:val="16"/>
          <w:szCs w:val="16"/>
        </w:rPr>
      </w:pPr>
      <w:r w:rsidRPr="00BB5AC7">
        <w:rPr>
          <w:rFonts w:ascii="Times New Roman" w:hAnsi="Times New Roman" w:cs="Times New Roman"/>
          <w:sz w:val="16"/>
          <w:szCs w:val="16"/>
          <w:vertAlign w:val="superscript"/>
        </w:rPr>
        <w:t>1</w:t>
      </w:r>
      <w:r w:rsidRPr="00BB5AC7">
        <w:rPr>
          <w:rFonts w:ascii="Times New Roman" w:hAnsi="Times New Roman" w:cs="Times New Roman"/>
          <w:sz w:val="16"/>
          <w:szCs w:val="16"/>
        </w:rPr>
        <w:t xml:space="preserve">Nach Vorlage der Gutachten gibt der Dekan an die Mitglieder der Promotionskommission und die zu ihr wählbaren Hochschullehrer, sowie die weiteren habilitierten Mitglieder der Fakultät für Medizin, die hauptberuflich im Dienst des Freistaates Bayern stehen und ein biomedizinisches Fach vertreten, Name des Doktoranden, Titel der Arbeit, Namen der Gutachter, sowie deren Antrag und Benotung bekannt. </w:t>
      </w:r>
      <w:r w:rsidRPr="00BB5AC7">
        <w:rPr>
          <w:rFonts w:ascii="Times New Roman" w:hAnsi="Times New Roman" w:cs="Times New Roman"/>
          <w:sz w:val="16"/>
          <w:szCs w:val="16"/>
          <w:vertAlign w:val="superscript"/>
        </w:rPr>
        <w:t>2</w:t>
      </w:r>
      <w:r w:rsidRPr="00BB5AC7">
        <w:rPr>
          <w:rFonts w:ascii="Times New Roman" w:hAnsi="Times New Roman" w:cs="Times New Roman"/>
          <w:sz w:val="16"/>
          <w:szCs w:val="16"/>
        </w:rPr>
        <w:t xml:space="preserve">Die Dissertation und die Gutachten werden zwei Wochen lang zur Einsichtnahme im Dekanat ausgelegt. </w:t>
      </w:r>
      <w:r w:rsidRPr="00BB5AC7">
        <w:rPr>
          <w:rFonts w:ascii="Times New Roman" w:hAnsi="Times New Roman" w:cs="Times New Roman"/>
          <w:sz w:val="16"/>
          <w:szCs w:val="16"/>
          <w:vertAlign w:val="superscript"/>
        </w:rPr>
        <w:t>3</w:t>
      </w:r>
      <w:r w:rsidRPr="00BB5AC7">
        <w:rPr>
          <w:rFonts w:ascii="Times New Roman" w:hAnsi="Times New Roman" w:cs="Times New Roman"/>
          <w:sz w:val="16"/>
          <w:szCs w:val="16"/>
        </w:rPr>
        <w:t xml:space="preserve">Beginn und Ende der Auslegungsfrist müssen bekannt gegeben werden. </w:t>
      </w:r>
      <w:r w:rsidRPr="00BB5AC7">
        <w:rPr>
          <w:rFonts w:ascii="Times New Roman" w:hAnsi="Times New Roman" w:cs="Times New Roman"/>
          <w:sz w:val="16"/>
          <w:szCs w:val="16"/>
          <w:vertAlign w:val="superscript"/>
        </w:rPr>
        <w:t>4</w:t>
      </w:r>
      <w:r w:rsidRPr="00BB5AC7">
        <w:rPr>
          <w:rFonts w:ascii="Times New Roman" w:hAnsi="Times New Roman" w:cs="Times New Roman"/>
          <w:sz w:val="16"/>
          <w:szCs w:val="16"/>
        </w:rPr>
        <w:t xml:space="preserve">Nach dem Ende der Auslagefrist besteht für eine weitere Woche die Möglichkeit, Einspruch gegen die Promotion bei der Geschäftsstelle schriftlich oder zur Niederschrift zu erheben. </w:t>
      </w:r>
    </w:p>
    <w:p w:rsidR="009C2BE0" w:rsidRPr="00BB5AC7" w:rsidRDefault="009C2BE0" w:rsidP="009C2BE0">
      <w:pPr>
        <w:pStyle w:val="Listenabsatz"/>
        <w:numPr>
          <w:ilvl w:val="0"/>
          <w:numId w:val="4"/>
        </w:numPr>
        <w:autoSpaceDE w:val="0"/>
        <w:autoSpaceDN w:val="0"/>
        <w:adjustRightInd w:val="0"/>
        <w:rPr>
          <w:rFonts w:ascii="Times New Roman" w:hAnsi="Times New Roman" w:cs="Times New Roman"/>
          <w:sz w:val="16"/>
          <w:szCs w:val="16"/>
        </w:rPr>
      </w:pPr>
      <w:r w:rsidRPr="00BB5AC7">
        <w:rPr>
          <w:rFonts w:ascii="Times New Roman" w:hAnsi="Times New Roman" w:cs="Times New Roman"/>
          <w:sz w:val="16"/>
          <w:szCs w:val="16"/>
        </w:rPr>
        <w:t>Die Dissertation wird als Promotionsleistung angenommen, wenn von zwei Gutachtern die Annahme empfohlen wird.</w:t>
      </w:r>
    </w:p>
    <w:p w:rsidR="005C5570" w:rsidRPr="00BB5AC7" w:rsidRDefault="005C5570" w:rsidP="005C5570">
      <w:pPr>
        <w:pBdr>
          <w:bottom w:val="single" w:sz="6" w:space="1" w:color="auto"/>
        </w:pBdr>
        <w:rPr>
          <w:rFonts w:ascii="Times New Roman" w:hAnsi="Times New Roman" w:cs="Times New Roman"/>
          <w:sz w:val="16"/>
          <w:szCs w:val="16"/>
        </w:rPr>
      </w:pPr>
    </w:p>
    <w:p w:rsidR="005C5570" w:rsidRPr="00BB5AC7" w:rsidRDefault="005C5570" w:rsidP="009F251C">
      <w:pPr>
        <w:pStyle w:val="berschrift1"/>
        <w:spacing w:after="0"/>
        <w:rPr>
          <w:rFonts w:ascii="Times New Roman" w:hAnsi="Times New Roman" w:cs="Times New Roman"/>
          <w:b w:val="0"/>
          <w:sz w:val="16"/>
          <w:szCs w:val="16"/>
        </w:rPr>
      </w:pPr>
      <w:r w:rsidRPr="00BB5AC7">
        <w:rPr>
          <w:rFonts w:ascii="Times New Roman" w:hAnsi="Times New Roman" w:cs="Times New Roman"/>
          <w:sz w:val="16"/>
          <w:szCs w:val="16"/>
        </w:rPr>
        <w:t>Auszug Bayerisches Hochschulpersonalgesetz</w:t>
      </w:r>
      <w:r w:rsidR="009F251C" w:rsidRPr="00BB5AC7">
        <w:rPr>
          <w:rFonts w:ascii="Times New Roman" w:hAnsi="Times New Roman" w:cs="Times New Roman"/>
          <w:sz w:val="16"/>
          <w:szCs w:val="16"/>
        </w:rPr>
        <w:br/>
      </w:r>
      <w:r w:rsidRPr="00BB5AC7">
        <w:rPr>
          <w:rFonts w:ascii="Times New Roman" w:hAnsi="Times New Roman" w:cs="Times New Roman"/>
          <w:b w:val="0"/>
          <w:sz w:val="16"/>
          <w:szCs w:val="16"/>
        </w:rPr>
        <w:t>Art. 2 Abs. 1 Satz 1 Ziff. 1 und 2</w:t>
      </w:r>
      <w:r w:rsidR="009F251C" w:rsidRPr="00BB5AC7">
        <w:rPr>
          <w:rFonts w:ascii="Times New Roman" w:hAnsi="Times New Roman" w:cs="Times New Roman"/>
          <w:b w:val="0"/>
          <w:sz w:val="16"/>
          <w:szCs w:val="16"/>
        </w:rPr>
        <w:br/>
      </w:r>
      <w:r w:rsidRPr="00BB5AC7">
        <w:rPr>
          <w:rFonts w:ascii="Times New Roman" w:hAnsi="Times New Roman" w:cs="Times New Roman"/>
          <w:b w:val="0"/>
          <w:sz w:val="16"/>
          <w:szCs w:val="16"/>
        </w:rPr>
        <w:t>Wissenschaftliches und künstlerisches Personal</w:t>
      </w:r>
      <w:r w:rsidR="009F251C" w:rsidRPr="00BB5AC7">
        <w:rPr>
          <w:rFonts w:ascii="Times New Roman" w:hAnsi="Times New Roman" w:cs="Times New Roman"/>
          <w:b w:val="0"/>
          <w:sz w:val="16"/>
          <w:szCs w:val="16"/>
        </w:rPr>
        <w:br/>
      </w:r>
    </w:p>
    <w:p w:rsidR="005C5570" w:rsidRPr="00BB5AC7" w:rsidRDefault="005C5570" w:rsidP="009F251C">
      <w:pPr>
        <w:pStyle w:val="StandardWeb"/>
        <w:spacing w:before="0" w:beforeAutospacing="0" w:after="0" w:afterAutospacing="0"/>
        <w:rPr>
          <w:sz w:val="16"/>
          <w:szCs w:val="16"/>
          <w:u w:val="single"/>
        </w:rPr>
      </w:pPr>
      <w:bookmarkStart w:id="1" w:name="Art2-A1"/>
      <w:bookmarkEnd w:id="1"/>
      <w:r w:rsidRPr="00BB5AC7">
        <w:rPr>
          <w:sz w:val="16"/>
          <w:szCs w:val="16"/>
        </w:rPr>
        <w:t xml:space="preserve">(1) </w:t>
      </w:r>
      <w:bookmarkStart w:id="2" w:name="Art2-A1-S1"/>
      <w:bookmarkEnd w:id="2"/>
      <w:r w:rsidRPr="00BB5AC7">
        <w:rPr>
          <w:sz w:val="16"/>
          <w:szCs w:val="16"/>
          <w:vertAlign w:val="superscript"/>
        </w:rPr>
        <w:t>1</w:t>
      </w:r>
      <w:r w:rsidRPr="00BB5AC7">
        <w:rPr>
          <w:sz w:val="16"/>
          <w:szCs w:val="16"/>
        </w:rPr>
        <w:t> Zum hauptberuflichen wissenschaftlichen und künstlerischen Personal gehören</w:t>
      </w:r>
      <w:r w:rsidR="009F251C" w:rsidRPr="00BB5AC7">
        <w:rPr>
          <w:sz w:val="16"/>
          <w:szCs w:val="16"/>
        </w:rPr>
        <w:br/>
      </w:r>
      <w:r w:rsidRPr="00BB5AC7">
        <w:rPr>
          <w:i/>
          <w:sz w:val="16"/>
          <w:szCs w:val="16"/>
          <w:u w:val="single"/>
        </w:rPr>
        <w:t>1. die Professoren und Professorinnen,</w:t>
      </w:r>
      <w:r w:rsidRPr="00BB5AC7">
        <w:rPr>
          <w:i/>
          <w:sz w:val="16"/>
          <w:szCs w:val="16"/>
          <w:u w:val="single"/>
        </w:rPr>
        <w:br/>
        <w:t>2. die Juniorprofessoren und Juniorprofessorinnen,</w:t>
      </w:r>
      <w:r w:rsidRPr="00BB5AC7">
        <w:rPr>
          <w:i/>
          <w:sz w:val="16"/>
          <w:szCs w:val="16"/>
          <w:u w:val="single"/>
        </w:rPr>
        <w:br/>
      </w:r>
      <w:r w:rsidRPr="00BB5AC7">
        <w:rPr>
          <w:sz w:val="16"/>
          <w:szCs w:val="16"/>
        </w:rPr>
        <w:t>3. die wissenschaftlichen und künstlerischen Mitarbeiter und Mitarbeiterinnen,</w:t>
      </w:r>
      <w:r w:rsidRPr="00BB5AC7">
        <w:rPr>
          <w:sz w:val="16"/>
          <w:szCs w:val="16"/>
        </w:rPr>
        <w:br/>
        <w:t>4. die Lehrkräfte für besondere Aufgaben.</w:t>
      </w:r>
      <w:bookmarkStart w:id="3" w:name="Art2-A1-S2"/>
      <w:bookmarkEnd w:id="3"/>
      <w:r w:rsidR="009F251C" w:rsidRPr="00BB5AC7">
        <w:rPr>
          <w:sz w:val="16"/>
          <w:szCs w:val="16"/>
        </w:rPr>
        <w:br/>
      </w:r>
      <w:r w:rsidRPr="00BB5AC7">
        <w:rPr>
          <w:sz w:val="16"/>
          <w:szCs w:val="16"/>
          <w:vertAlign w:val="superscript"/>
        </w:rPr>
        <w:t>2</w:t>
      </w:r>
      <w:r w:rsidRPr="00BB5AC7">
        <w:rPr>
          <w:sz w:val="16"/>
          <w:szCs w:val="16"/>
        </w:rPr>
        <w:t> Hauptberuflich ist die Tätigkeit, wenn die Arbeitszeit oder der Umfang der Dienstaufgaben mindestens die Hälfte der regelmäßigen Arbeitszeit umfasst oder der Hälfte des durchschnittlichen Umfangs der Dienstaufgaben des entsprechenden vollbeschäftigten Personals entspricht.</w:t>
      </w:r>
      <w:bookmarkStart w:id="4" w:name="Art2-A2"/>
      <w:bookmarkEnd w:id="4"/>
      <w:r w:rsidR="009F251C" w:rsidRPr="00BB5AC7">
        <w:rPr>
          <w:sz w:val="16"/>
          <w:szCs w:val="16"/>
        </w:rPr>
        <w:br/>
      </w:r>
      <w:r w:rsidRPr="00BB5AC7">
        <w:rPr>
          <w:sz w:val="16"/>
          <w:szCs w:val="16"/>
        </w:rPr>
        <w:t>(2) Zu den nebenberuflich wissenschaftlich und künstlerisch Tätigen gehören</w:t>
      </w:r>
      <w:r w:rsidR="009F251C" w:rsidRPr="00BB5AC7">
        <w:rPr>
          <w:sz w:val="16"/>
          <w:szCs w:val="16"/>
        </w:rPr>
        <w:br/>
      </w:r>
      <w:r w:rsidRPr="00BB5AC7">
        <w:rPr>
          <w:sz w:val="16"/>
          <w:szCs w:val="16"/>
          <w:u w:val="single"/>
        </w:rPr>
        <w:t>1. die Honorarprofessoren und Honorarprofessorinnen,</w:t>
      </w:r>
      <w:r w:rsidR="009F251C" w:rsidRPr="00BB5AC7">
        <w:rPr>
          <w:sz w:val="16"/>
          <w:szCs w:val="16"/>
          <w:u w:val="single"/>
        </w:rPr>
        <w:br/>
      </w:r>
      <w:r w:rsidRPr="00BB5AC7">
        <w:rPr>
          <w:sz w:val="16"/>
          <w:szCs w:val="16"/>
          <w:u w:val="single"/>
        </w:rPr>
        <w:t>2. die Privatdozenten und Privatdozentinnen sowie die außerplanmäßigen Professoren und Professorinnen,</w:t>
      </w:r>
    </w:p>
    <w:p w:rsidR="005C5570" w:rsidRPr="00BB5AC7" w:rsidRDefault="005C5570" w:rsidP="009F251C">
      <w:pPr>
        <w:spacing w:after="0"/>
        <w:rPr>
          <w:rFonts w:ascii="Times New Roman" w:hAnsi="Times New Roman" w:cs="Times New Roman"/>
          <w:sz w:val="16"/>
          <w:szCs w:val="16"/>
        </w:rPr>
      </w:pPr>
      <w:r w:rsidRPr="00BB5AC7">
        <w:rPr>
          <w:rFonts w:ascii="Times New Roman" w:hAnsi="Times New Roman" w:cs="Times New Roman"/>
          <w:sz w:val="16"/>
          <w:szCs w:val="16"/>
        </w:rPr>
        <w:t>3. die Lehrbeauftragten,</w:t>
      </w:r>
    </w:p>
    <w:p w:rsidR="005C5570" w:rsidRPr="00BB5AC7" w:rsidRDefault="005C5570" w:rsidP="009F251C">
      <w:pPr>
        <w:spacing w:after="0"/>
        <w:rPr>
          <w:rFonts w:ascii="Times New Roman" w:hAnsi="Times New Roman" w:cs="Times New Roman"/>
          <w:sz w:val="16"/>
          <w:szCs w:val="16"/>
        </w:rPr>
      </w:pPr>
      <w:r w:rsidRPr="00BB5AC7">
        <w:rPr>
          <w:rFonts w:ascii="Times New Roman" w:hAnsi="Times New Roman" w:cs="Times New Roman"/>
          <w:sz w:val="16"/>
          <w:szCs w:val="16"/>
        </w:rPr>
        <w:t>4. die sonstigen nebenberuflich wissenschaftlich oder künstlerisch Tätigen.</w:t>
      </w:r>
      <w:bookmarkStart w:id="5" w:name="Art2-A3"/>
      <w:bookmarkEnd w:id="5"/>
      <w:r w:rsidR="009F251C" w:rsidRPr="00BB5AC7">
        <w:rPr>
          <w:rFonts w:ascii="Times New Roman" w:hAnsi="Times New Roman" w:cs="Times New Roman"/>
          <w:sz w:val="16"/>
          <w:szCs w:val="16"/>
        </w:rPr>
        <w:br/>
      </w:r>
      <w:r w:rsidRPr="00BB5AC7">
        <w:rPr>
          <w:rFonts w:ascii="Times New Roman" w:hAnsi="Times New Roman" w:cs="Times New Roman"/>
          <w:sz w:val="16"/>
          <w:szCs w:val="16"/>
        </w:rPr>
        <w:t xml:space="preserve">(3) </w:t>
      </w:r>
      <w:bookmarkStart w:id="6" w:name="Art2-A3-S1"/>
      <w:bookmarkEnd w:id="6"/>
      <w:r w:rsidRPr="00BB5AC7">
        <w:rPr>
          <w:rFonts w:ascii="Times New Roman" w:hAnsi="Times New Roman" w:cs="Times New Roman"/>
          <w:sz w:val="16"/>
          <w:szCs w:val="16"/>
          <w:vertAlign w:val="superscript"/>
        </w:rPr>
        <w:t>1</w:t>
      </w:r>
      <w:r w:rsidRPr="00BB5AC7">
        <w:rPr>
          <w:rFonts w:ascii="Times New Roman" w:hAnsi="Times New Roman" w:cs="Times New Roman"/>
          <w:sz w:val="16"/>
          <w:szCs w:val="16"/>
        </w:rPr>
        <w:t xml:space="preserve"> Die in Abs. 1 Nrn. 1 und 2 sowie in Abs. 2 Nrn. 1 und 2 genannten Personen sind </w:t>
      </w:r>
      <w:r w:rsidRPr="00BB5AC7">
        <w:rPr>
          <w:rFonts w:ascii="Times New Roman" w:hAnsi="Times New Roman" w:cs="Times New Roman"/>
          <w:i/>
          <w:sz w:val="16"/>
          <w:szCs w:val="16"/>
          <w:u w:val="single"/>
        </w:rPr>
        <w:t>Hochschullehrer und Hochschullehrerinnen</w:t>
      </w:r>
      <w:r w:rsidRPr="00BB5AC7">
        <w:rPr>
          <w:rFonts w:ascii="Times New Roman" w:hAnsi="Times New Roman" w:cs="Times New Roman"/>
          <w:sz w:val="16"/>
          <w:szCs w:val="16"/>
        </w:rPr>
        <w:t xml:space="preserve">. </w:t>
      </w:r>
      <w:bookmarkStart w:id="7" w:name="Art2-A3-S2"/>
      <w:bookmarkEnd w:id="7"/>
    </w:p>
    <w:p w:rsidR="005C5570" w:rsidRPr="00BB5AC7" w:rsidRDefault="005C5570" w:rsidP="009F251C">
      <w:pPr>
        <w:pBdr>
          <w:bottom w:val="single" w:sz="6" w:space="1" w:color="auto"/>
        </w:pBdr>
        <w:spacing w:after="0"/>
        <w:rPr>
          <w:rFonts w:ascii="Times New Roman" w:hAnsi="Times New Roman" w:cs="Times New Roman"/>
          <w:sz w:val="16"/>
          <w:szCs w:val="16"/>
        </w:rPr>
      </w:pPr>
    </w:p>
    <w:p w:rsidR="00BC3C54" w:rsidRPr="00BB5AC7" w:rsidRDefault="00BC3C54" w:rsidP="009F251C">
      <w:pPr>
        <w:pBdr>
          <w:bottom w:val="single" w:sz="6" w:space="1" w:color="auto"/>
        </w:pBdr>
        <w:spacing w:after="0"/>
        <w:rPr>
          <w:rFonts w:ascii="Times New Roman" w:hAnsi="Times New Roman" w:cs="Times New Roman"/>
          <w:sz w:val="16"/>
          <w:szCs w:val="16"/>
        </w:rPr>
      </w:pPr>
    </w:p>
    <w:p w:rsidR="00BC3C54" w:rsidRPr="00BB5AC7" w:rsidRDefault="00BC3C54" w:rsidP="00BC3C54">
      <w:pPr>
        <w:rPr>
          <w:rFonts w:ascii="Times New Roman" w:hAnsi="Times New Roman" w:cs="Times New Roman"/>
          <w:sz w:val="16"/>
          <w:szCs w:val="16"/>
        </w:rPr>
      </w:pPr>
    </w:p>
    <w:p w:rsidR="00BB5AC7" w:rsidRDefault="00BB5AC7" w:rsidP="00BB5AC7">
      <w:pPr>
        <w:spacing w:after="0"/>
        <w:rPr>
          <w:rFonts w:ascii="Times New Roman" w:hAnsi="Times New Roman" w:cs="Times New Roman"/>
          <w:sz w:val="16"/>
          <w:szCs w:val="16"/>
        </w:rPr>
      </w:pPr>
    </w:p>
    <w:p w:rsidR="00BB5AC7" w:rsidRDefault="00BB5AC7" w:rsidP="00BB5AC7">
      <w:pPr>
        <w:spacing w:after="0"/>
        <w:rPr>
          <w:rFonts w:ascii="Times New Roman" w:hAnsi="Times New Roman" w:cs="Times New Roman"/>
          <w:sz w:val="16"/>
          <w:szCs w:val="16"/>
        </w:rPr>
      </w:pPr>
    </w:p>
    <w:p w:rsidR="00BB5AC7" w:rsidRPr="00BB5AC7" w:rsidRDefault="00BB5AC7" w:rsidP="00BB5AC7">
      <w:pPr>
        <w:spacing w:after="0"/>
        <w:rPr>
          <w:rFonts w:ascii="Times New Roman" w:hAnsi="Times New Roman" w:cs="Times New Roman"/>
          <w:sz w:val="16"/>
          <w:szCs w:val="16"/>
        </w:rPr>
      </w:pPr>
    </w:p>
    <w:sectPr w:rsidR="00BB5AC7" w:rsidRPr="00BB5A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xt LT W1G">
    <w:altName w:val="Frutiger Next LT W1G"/>
    <w:panose1 w:val="020B0503040204020203"/>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F2011"/>
    <w:multiLevelType w:val="hybridMultilevel"/>
    <w:tmpl w:val="5306778E"/>
    <w:lvl w:ilvl="0" w:tplc="2B00E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5401F"/>
    <w:multiLevelType w:val="hybridMultilevel"/>
    <w:tmpl w:val="667E898C"/>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8B59C2"/>
    <w:multiLevelType w:val="hybridMultilevel"/>
    <w:tmpl w:val="79842C3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4B133C"/>
    <w:multiLevelType w:val="hybridMultilevel"/>
    <w:tmpl w:val="1F30E03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D1"/>
    <w:rsid w:val="00040C6C"/>
    <w:rsid w:val="00082AA5"/>
    <w:rsid w:val="001D23CD"/>
    <w:rsid w:val="00387EDE"/>
    <w:rsid w:val="003F6B30"/>
    <w:rsid w:val="00413808"/>
    <w:rsid w:val="004B2C71"/>
    <w:rsid w:val="00560FB3"/>
    <w:rsid w:val="005C5570"/>
    <w:rsid w:val="007C4AE5"/>
    <w:rsid w:val="009C2BE0"/>
    <w:rsid w:val="009F251C"/>
    <w:rsid w:val="00A16AD1"/>
    <w:rsid w:val="00BB41B2"/>
    <w:rsid w:val="00BB5AC7"/>
    <w:rsid w:val="00BC3C54"/>
    <w:rsid w:val="00C475CE"/>
    <w:rsid w:val="00CF4BDC"/>
    <w:rsid w:val="00D35888"/>
    <w:rsid w:val="00EB7042"/>
    <w:rsid w:val="00F62AF5"/>
    <w:rsid w:val="00F82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107A"/>
  <w15:docId w15:val="{238589EE-3CF9-4B31-9EB4-2F24118C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C5570"/>
    <w:pPr>
      <w:keepNext/>
      <w:keepLines/>
      <w:spacing w:before="480" w:after="360" w:line="240" w:lineRule="auto"/>
      <w:jc w:val="center"/>
      <w:outlineLvl w:val="0"/>
    </w:pPr>
    <w:rPr>
      <w:rFonts w:ascii="Frutiger Next LT W1G" w:eastAsiaTheme="majorEastAsia" w:hAnsi="Frutiger Next LT W1G" w:cstheme="majorBidi"/>
      <w:b/>
      <w:bCs/>
      <w:szCs w:val="28"/>
    </w:rPr>
  </w:style>
  <w:style w:type="paragraph" w:styleId="berschrift3">
    <w:name w:val="heading 3"/>
    <w:basedOn w:val="Standard"/>
    <w:next w:val="Standard"/>
    <w:link w:val="berschrift3Zchn"/>
    <w:uiPriority w:val="9"/>
    <w:semiHidden/>
    <w:unhideWhenUsed/>
    <w:qFormat/>
    <w:rsid w:val="005C55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5570"/>
    <w:rPr>
      <w:rFonts w:ascii="Frutiger Next LT W1G" w:eastAsiaTheme="majorEastAsia" w:hAnsi="Frutiger Next LT W1G" w:cstheme="majorBidi"/>
      <w:b/>
      <w:bCs/>
      <w:szCs w:val="28"/>
    </w:rPr>
  </w:style>
  <w:style w:type="paragraph" w:styleId="Listenabsatz">
    <w:name w:val="List Paragraph"/>
    <w:basedOn w:val="Standard"/>
    <w:uiPriority w:val="34"/>
    <w:qFormat/>
    <w:rsid w:val="005C5570"/>
    <w:pPr>
      <w:spacing w:after="0" w:line="240" w:lineRule="auto"/>
      <w:ind w:left="720"/>
      <w:contextualSpacing/>
      <w:jc w:val="both"/>
    </w:pPr>
    <w:rPr>
      <w:rFonts w:ascii="Frutiger Next LT W1G" w:hAnsi="Frutiger Next LT W1G"/>
    </w:rPr>
  </w:style>
  <w:style w:type="character" w:customStyle="1" w:styleId="berschrift3Zchn">
    <w:name w:val="Überschrift 3 Zchn"/>
    <w:basedOn w:val="Absatz-Standardschriftart"/>
    <w:link w:val="berschrift3"/>
    <w:uiPriority w:val="9"/>
    <w:semiHidden/>
    <w:rsid w:val="005C5570"/>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5C557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F2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51C"/>
    <w:rPr>
      <w:rFonts w:ascii="Tahoma" w:hAnsi="Tahoma" w:cs="Tahoma"/>
      <w:sz w:val="16"/>
      <w:szCs w:val="16"/>
    </w:rPr>
  </w:style>
  <w:style w:type="character" w:styleId="Hyperlink">
    <w:name w:val="Hyperlink"/>
    <w:basedOn w:val="Absatz-Standardschriftart"/>
    <w:uiPriority w:val="99"/>
    <w:unhideWhenUsed/>
    <w:rsid w:val="00BC3C54"/>
    <w:rPr>
      <w:color w:val="0000FF" w:themeColor="hyperlink"/>
      <w:u w:val="single"/>
    </w:rPr>
  </w:style>
  <w:style w:type="character" w:styleId="NichtaufgelsteErwhnung">
    <w:name w:val="Unresolved Mention"/>
    <w:basedOn w:val="Absatz-Standardschriftart"/>
    <w:uiPriority w:val="99"/>
    <w:semiHidden/>
    <w:unhideWhenUsed/>
    <w:rsid w:val="001D23CD"/>
    <w:rPr>
      <w:color w:val="605E5C"/>
      <w:shd w:val="clear" w:color="auto" w:fill="E1DFDD"/>
    </w:rPr>
  </w:style>
  <w:style w:type="character" w:styleId="BesuchterLink">
    <w:name w:val="FollowedHyperlink"/>
    <w:basedOn w:val="Absatz-Standardschriftart"/>
    <w:uiPriority w:val="99"/>
    <w:semiHidden/>
    <w:unhideWhenUsed/>
    <w:rsid w:val="00C475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084416">
      <w:bodyDiv w:val="1"/>
      <w:marLeft w:val="0"/>
      <w:marRight w:val="0"/>
      <w:marTop w:val="0"/>
      <w:marBottom w:val="0"/>
      <w:divBdr>
        <w:top w:val="none" w:sz="0" w:space="0" w:color="auto"/>
        <w:left w:val="none" w:sz="0" w:space="0" w:color="auto"/>
        <w:bottom w:val="none" w:sz="0" w:space="0" w:color="auto"/>
        <w:right w:val="none" w:sz="0" w:space="0" w:color="auto"/>
      </w:divBdr>
      <w:divsChild>
        <w:div w:id="1728071022">
          <w:marLeft w:val="0"/>
          <w:marRight w:val="0"/>
          <w:marTop w:val="0"/>
          <w:marBottom w:val="0"/>
          <w:divBdr>
            <w:top w:val="none" w:sz="0" w:space="0" w:color="auto"/>
            <w:left w:val="none" w:sz="0" w:space="0" w:color="auto"/>
            <w:bottom w:val="none" w:sz="0" w:space="0" w:color="auto"/>
            <w:right w:val="none" w:sz="0" w:space="0" w:color="auto"/>
          </w:divBdr>
        </w:div>
        <w:div w:id="552229815">
          <w:marLeft w:val="0"/>
          <w:marRight w:val="0"/>
          <w:marTop w:val="0"/>
          <w:marBottom w:val="0"/>
          <w:divBdr>
            <w:top w:val="none" w:sz="0" w:space="0" w:color="auto"/>
            <w:left w:val="none" w:sz="0" w:space="0" w:color="auto"/>
            <w:bottom w:val="none" w:sz="0" w:space="0" w:color="auto"/>
            <w:right w:val="none" w:sz="0" w:space="0" w:color="auto"/>
          </w:divBdr>
        </w:div>
        <w:div w:id="646321384">
          <w:marLeft w:val="0"/>
          <w:marRight w:val="0"/>
          <w:marTop w:val="0"/>
          <w:marBottom w:val="0"/>
          <w:divBdr>
            <w:top w:val="none" w:sz="0" w:space="0" w:color="auto"/>
            <w:left w:val="none" w:sz="0" w:space="0" w:color="auto"/>
            <w:bottom w:val="none" w:sz="0" w:space="0" w:color="auto"/>
            <w:right w:val="none" w:sz="0" w:space="0" w:color="auto"/>
          </w:divBdr>
        </w:div>
        <w:div w:id="251934884">
          <w:marLeft w:val="0"/>
          <w:marRight w:val="0"/>
          <w:marTop w:val="0"/>
          <w:marBottom w:val="0"/>
          <w:divBdr>
            <w:top w:val="none" w:sz="0" w:space="0" w:color="auto"/>
            <w:left w:val="none" w:sz="0" w:space="0" w:color="auto"/>
            <w:bottom w:val="none" w:sz="0" w:space="0" w:color="auto"/>
            <w:right w:val="none" w:sz="0" w:space="0" w:color="auto"/>
          </w:divBdr>
        </w:div>
        <w:div w:id="2013141335">
          <w:marLeft w:val="0"/>
          <w:marRight w:val="0"/>
          <w:marTop w:val="0"/>
          <w:marBottom w:val="0"/>
          <w:divBdr>
            <w:top w:val="none" w:sz="0" w:space="0" w:color="auto"/>
            <w:left w:val="none" w:sz="0" w:space="0" w:color="auto"/>
            <w:bottom w:val="none" w:sz="0" w:space="0" w:color="auto"/>
            <w:right w:val="none" w:sz="0" w:space="0" w:color="auto"/>
          </w:divBdr>
        </w:div>
        <w:div w:id="482746271">
          <w:marLeft w:val="0"/>
          <w:marRight w:val="0"/>
          <w:marTop w:val="0"/>
          <w:marBottom w:val="0"/>
          <w:divBdr>
            <w:top w:val="none" w:sz="0" w:space="0" w:color="auto"/>
            <w:left w:val="none" w:sz="0" w:space="0" w:color="auto"/>
            <w:bottom w:val="none" w:sz="0" w:space="0" w:color="auto"/>
            <w:right w:val="none" w:sz="0" w:space="0" w:color="auto"/>
          </w:divBdr>
        </w:div>
        <w:div w:id="748042691">
          <w:marLeft w:val="0"/>
          <w:marRight w:val="0"/>
          <w:marTop w:val="0"/>
          <w:marBottom w:val="0"/>
          <w:divBdr>
            <w:top w:val="none" w:sz="0" w:space="0" w:color="auto"/>
            <w:left w:val="none" w:sz="0" w:space="0" w:color="auto"/>
            <w:bottom w:val="none" w:sz="0" w:space="0" w:color="auto"/>
            <w:right w:val="none" w:sz="0" w:space="0" w:color="auto"/>
          </w:divBdr>
        </w:div>
        <w:div w:id="26824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Kolbeck</dc:creator>
  <cp:keywords/>
  <dc:description/>
  <cp:lastModifiedBy>Elisabeth Schneider</cp:lastModifiedBy>
  <cp:revision>8</cp:revision>
  <cp:lastPrinted>2015-04-21T09:51:00Z</cp:lastPrinted>
  <dcterms:created xsi:type="dcterms:W3CDTF">2022-03-17T12:59:00Z</dcterms:created>
  <dcterms:modified xsi:type="dcterms:W3CDTF">2022-09-14T12:22:00Z</dcterms:modified>
</cp:coreProperties>
</file>